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b/>
          <w:color w:val="102436"/>
          <w:sz w:val="60"/>
        </w:rPr>
        <w:t>MATTRESS MADNESS</w:t>
      </w:r>
    </w:p>
    <w:p>
      <w:pPr>
        <w:spacing w:after="160"/>
        <w:jc w:val="center"/>
      </w:pPr>
      <w:r>
        <w:rPr>
          <w:b/>
          <w:color w:val="C9362B"/>
          <w:sz w:val="32"/>
        </w:rPr>
        <w:t>When essential care becomes an obstacle course</w:t>
      </w:r>
    </w:p>
    <w:p>
      <w:pPr>
        <w:jc w:val="center"/>
      </w:pPr>
      <w:r>
        <w:rPr>
          <w:i/>
        </w:rPr>
        <w:t>A documented case study of delay, duplicated administration and a clinically contradictory quote</w:t>
      </w:r>
    </w:p>
    <w:p>
      <w:pPr>
        <w:spacing w:before="100" w:after="160"/>
        <w:jc w:val="center"/>
      </w:pPr>
      <w:r>
        <w:drawing>
          <wp:inline xmlns:a="http://schemas.openxmlformats.org/drawingml/2006/main" xmlns:pic="http://schemas.openxmlformats.org/drawingml/2006/picture">
            <wp:extent cx="4800600" cy="4800600"/>
            <wp:docPr id="1" name="Picture 1"/>
            <wp:cNvGraphicFramePr>
              <a:graphicFrameLocks noChangeAspect="1"/>
            </wp:cNvGraphicFramePr>
            <a:graphic>
              <a:graphicData uri="http://schemas.openxmlformats.org/drawingml/2006/picture">
                <pic:pic>
                  <pic:nvPicPr>
                    <pic:cNvPr id="0" name="image2.png"/>
                    <pic:cNvPicPr/>
                  </pic:nvPicPr>
                  <pic:blipFill>
                    <a:blip r:embed="rId11"/>
                    <a:stretch>
                      <a:fillRect/>
                    </a:stretch>
                  </pic:blipFill>
                  <pic:spPr>
                    <a:xfrm>
                      <a:off x="0" y="0"/>
                      <a:ext cx="4800600" cy="4800600"/>
                    </a:xfrm>
                    <a:prstGeom prst="rect"/>
                  </pic:spPr>
                </pic:pic>
              </a:graphicData>
            </a:graphic>
          </wp:inline>
        </w:drawing>
      </w:r>
    </w:p>
    <w:tbl>
      <w:tblPr>
        <w:tblW w:type="auto" w:w="0"/>
        <w:jc w:val="center"/>
        <w:tblLayout w:type="fixed"/>
        <w:tblLook w:firstColumn="1" w:firstRow="1" w:lastColumn="0" w:lastRow="0" w:noHBand="0" w:noVBand="1" w:val="04A0"/>
      </w:tblPr>
      <w:tblGrid>
        <w:gridCol w:w="173"/>
        <w:gridCol w:w="9432"/>
      </w:tblGrid>
      <w:tr>
        <w:trPr>
          <w:cantSplit/>
        </w:trPr>
        <w:tc>
          <w:tcPr>
            <w:tcW w:type="dxa" w:w="4939"/>
            <w:shd w:fill="C9362B"/>
            <w:tcMar>
              <w:top w:w="0" w:type="dxa"/>
              <w:start w:w="0" w:type="dxa"/>
              <w:bottom w:w="0" w:type="dxa"/>
              <w:end w:w="0" w:type="dxa"/>
            </w:tcMar>
          </w:tcPr>
          <w:p/>
        </w:tc>
        <w:tc>
          <w:tcPr>
            <w:tcW w:type="dxa" w:w="4939"/>
            <w:shd w:fill="FCEBE8"/>
            <w:tcMar>
              <w:top w:w="130" w:type="dxa"/>
              <w:start w:w="150" w:type="dxa"/>
              <w:bottom w:w="130" w:type="dxa"/>
              <w:end w:w="150" w:type="dxa"/>
            </w:tcMar>
          </w:tcPr>
          <w:p>
            <w:pPr>
              <w:spacing w:after="60"/>
            </w:pPr>
            <w:r/>
            <w:r>
              <w:rPr>
                <w:b/>
                <w:color w:val="C9362B"/>
                <w:sz w:val="24"/>
              </w:rPr>
              <w:t>The central finding</w:t>
            </w:r>
          </w:p>
          <w:p>
            <w:pPr>
              <w:spacing w:after="0" w:line="252" w:lineRule="auto"/>
            </w:pPr>
            <w:r>
              <w:t>After two home assessments and a supervised supplier trial, the process had taken approximately 107 days—yet the quote specified the firm mattress the occupational therapist had found clinically unsuitable.</w:t>
            </w:r>
          </w:p>
        </w:tc>
      </w:tr>
    </w:tbl>
    <w:p>
      <w:pPr>
        <w:spacing w:after="0"/>
      </w:pPr>
    </w:p>
    <w:p>
      <w:pPr>
        <w:spacing w:before="80"/>
        <w:jc w:val="center"/>
      </w:pPr>
      <w:r>
        <w:rPr>
          <w:color w:val="5B6870"/>
          <w:sz w:val="18"/>
        </w:rPr>
        <w:t>Prepared 4 September 2026  |  Murphy Campaign</w:t>
      </w:r>
    </w:p>
    <w:p>
      <w:r>
        <w:br w:type="page"/>
      </w:r>
    </w:p>
    <w:p>
      <w:pPr>
        <w:pStyle w:val="Heading1"/>
      </w:pPr>
      <w:r>
        <w:t>Executive brief</w:t>
      </w:r>
    </w:p>
    <w:p>
      <w:pPr>
        <w:spacing w:before="20" w:after="160"/>
        <w:pBdr>
          <w:bottom w:val="single" w:sz="18" w:space="1" w:color="F3C623"/>
        </w:pBdr>
      </w:pPr>
    </w:p>
    <w:p>
      <w:r>
        <w:rPr>
          <w:b/>
        </w:rPr>
        <w:t xml:space="preserve">This is not a complaint about a mattress shop asking whether delivery is possible. </w:t>
      </w:r>
      <w:r>
        <w:t>It is a case study in what happens when an older person is made to carry the administrative burden of a fragmented care system.</w:t>
      </w:r>
    </w:p>
    <w:p>
      <w:r>
        <w:rPr>
          <w:b/>
        </w:rPr>
        <w:t xml:space="preserve">Sheila, 85, has chronic back pain, arthritis and polymyalgia. </w:t>
      </w:r>
      <w:r>
        <w:t>A mattress was recommended following occupational-therapy assessment. By 4 September, the pathway had involved two home visits, a supplier trial, multiple reports, a quote, a late delivery questionnaire and no confirmed correct order.</w:t>
      </w:r>
    </w:p>
    <w:p>
      <w:pPr>
        <w:pStyle w:val="Heading2"/>
      </w:pPr>
      <w:r>
        <w:t>What went wrong</w:t>
      </w:r>
    </w:p>
    <w:p>
      <w:pPr>
        <w:keepLines/>
        <w:spacing w:after="80"/>
        <w:ind w:left="403" w:hanging="259"/>
      </w:pPr>
      <w:r>
        <w:rPr>
          <w:b/>
          <w:color w:val="1672A6"/>
        </w:rPr>
        <w:t xml:space="preserve">•  </w:t>
      </w:r>
      <w:r>
        <w:t>The home and bedroom were assessed twice, yet known delivery-access requirements were not completed or anticipated.</w:t>
      </w:r>
    </w:p>
    <w:p>
      <w:pPr>
        <w:keepLines/>
        <w:spacing w:after="80"/>
        <w:ind w:left="403" w:hanging="259"/>
      </w:pPr>
      <w:r>
        <w:rPr>
          <w:b/>
          <w:color w:val="1672A6"/>
        </w:rPr>
        <w:t xml:space="preserve">•  </w:t>
      </w:r>
      <w:r>
        <w:t>The supplier trial identified the medium Activ+ Comfort Classic as suitable and the firm version as clinically unsuitable.</w:t>
      </w:r>
    </w:p>
    <w:p>
      <w:pPr>
        <w:keepLines/>
        <w:spacing w:after="80"/>
        <w:ind w:left="403" w:hanging="259"/>
      </w:pPr>
      <w:r>
        <w:rPr>
          <w:b/>
          <w:color w:val="1672A6"/>
        </w:rPr>
        <w:t xml:space="preserve">•  </w:t>
      </w:r>
      <w:r>
        <w:t>The quote issued on the day of the trial nevertheless specified the firm version.</w:t>
      </w:r>
    </w:p>
    <w:p>
      <w:pPr>
        <w:keepLines/>
        <w:spacing w:after="80"/>
        <w:ind w:left="403" w:hanging="259"/>
      </w:pPr>
      <w:r>
        <w:rPr>
          <w:b/>
          <w:color w:val="1672A6"/>
        </w:rPr>
        <w:t xml:space="preserve">•  </w:t>
      </w:r>
      <w:r>
        <w:t>The quote and supplier form were not passed to Sheila until 3 September—three weeks after the trial.</w:t>
      </w:r>
    </w:p>
    <w:p>
      <w:pPr>
        <w:keepLines/>
        <w:spacing w:after="80"/>
        <w:ind w:left="403" w:hanging="259"/>
      </w:pPr>
      <w:r>
        <w:rPr>
          <w:b/>
          <w:color w:val="1672A6"/>
        </w:rPr>
        <w:t xml:space="preserve">•  </w:t>
      </w:r>
      <w:r>
        <w:t>The order remained unconfirmed, with a further estimated delivery delay of four to six weeks.</w:t>
      </w:r>
    </w:p>
    <w:p>
      <w:pPr>
        <w:keepLines/>
        <w:spacing w:after="80"/>
        <w:ind w:left="403" w:hanging="259"/>
      </w:pPr>
      <w:r>
        <w:rPr>
          <w:b/>
          <w:color w:val="1672A6"/>
        </w:rPr>
        <w:t xml:space="preserve">•  </w:t>
      </w:r>
      <w:r>
        <w:t>Administrative work that should have been coordinated by the provider was transferred back to an 85-year-old client and her family.</w:t>
      </w:r>
    </w:p>
    <w:tbl>
      <w:tblPr>
        <w:tblW w:type="auto" w:w="0"/>
        <w:jc w:val="center"/>
        <w:tblLayout w:type="fixed"/>
        <w:tblLook w:firstColumn="1" w:firstRow="1" w:lastColumn="0" w:lastRow="0" w:noHBand="0" w:noVBand="1" w:val="04A0"/>
      </w:tblPr>
      <w:tblGrid>
        <w:gridCol w:w="173"/>
        <w:gridCol w:w="9432"/>
      </w:tblGrid>
      <w:tr>
        <w:trPr>
          <w:cantSplit/>
        </w:trPr>
        <w:tc>
          <w:tcPr>
            <w:tcW w:type="dxa" w:w="4939"/>
            <w:shd w:fill="B08000"/>
            <w:tcMar>
              <w:top w:w="0" w:type="dxa"/>
              <w:start w:w="0" w:type="dxa"/>
              <w:bottom w:w="0" w:type="dxa"/>
              <w:end w:w="0" w:type="dxa"/>
            </w:tcMar>
          </w:tcPr>
          <w:p/>
        </w:tc>
        <w:tc>
          <w:tcPr>
            <w:tcW w:type="dxa" w:w="4939"/>
            <w:shd w:fill="FFF7D6"/>
            <w:tcMar>
              <w:top w:w="130" w:type="dxa"/>
              <w:start w:w="150" w:type="dxa"/>
              <w:bottom w:w="130" w:type="dxa"/>
              <w:end w:w="150" w:type="dxa"/>
            </w:tcMar>
          </w:tcPr>
          <w:p>
            <w:pPr>
              <w:spacing w:after="60"/>
            </w:pPr>
            <w:r/>
            <w:r>
              <w:rPr>
                <w:b/>
                <w:color w:val="B08000"/>
                <w:sz w:val="24"/>
              </w:rPr>
              <w:t>A mattress is not an oxygen concentrator—but the administrative lesson is the same.</w:t>
            </w:r>
          </w:p>
          <w:p>
            <w:pPr>
              <w:spacing w:after="0" w:line="252" w:lineRule="auto"/>
            </w:pPr>
            <w:r>
              <w:t>If the item were oxygen, a ventilator or another life-sustaining device, nobody would accept months of hand-offs, repeated assessment, a late access form and an order for the clinically unsuitable specification. Equipment that protects comfort, mobility, sleep and independence also requires urgency, accuracy and clear ownership.</w:t>
            </w:r>
          </w:p>
        </w:tc>
      </w:tr>
    </w:tbl>
    <w:p>
      <w:pPr>
        <w:spacing w:after="0"/>
      </w:pPr>
    </w:p>
    <w:p>
      <w:pPr>
        <w:pStyle w:val="Heading2"/>
      </w:pPr>
      <w:r>
        <w:t>The accountability question</w:t>
      </w:r>
    </w:p>
    <w:p>
      <w:pPr>
        <w:pStyle w:val="CampaignQuote"/>
        <w:jc w:val="center"/>
      </w:pPr>
      <w:r>
        <w:t>How can a system assess the person, inspect the home, supervise the trial—and still fail to place the right order?</w:t>
      </w:r>
    </w:p>
    <w:p>
      <w:r>
        <w:br w:type="page"/>
      </w:r>
    </w:p>
    <w:p>
      <w:pPr>
        <w:pStyle w:val="Heading1"/>
      </w:pPr>
      <w:r>
        <w:t>Documented timeline</w:t>
      </w:r>
    </w:p>
    <w:p>
      <w:pPr>
        <w:spacing w:before="20" w:after="160"/>
        <w:pBdr>
          <w:bottom w:val="single" w:sz="18" w:space="1" w:color="F3C623"/>
        </w:pBdr>
      </w:pPr>
    </w:p>
    <w:tbl>
      <w:tblPr>
        <w:tblW w:type="auto" w:w="0"/>
        <w:jc w:val="center"/>
        <w:tblLayout w:type="fixed"/>
        <w:tblLook w:firstColumn="1" w:firstRow="1" w:lastColumn="0" w:lastRow="0" w:noHBand="0" w:noVBand="1" w:val="04A0"/>
      </w:tblPr>
      <w:tblGrid>
        <w:gridCol w:w="1613"/>
        <w:gridCol w:w="7992"/>
      </w:tblGrid>
      <w:tr>
        <w:trPr>
          <w:cantSplit/>
        </w:trPr>
        <w:tc>
          <w:tcPr>
            <w:tcW w:type="dxa" w:w="4939"/>
            <w:tcMar>
              <w:top w:w="90" w:type="dxa"/>
              <w:start w:w="100" w:type="dxa"/>
              <w:bottom w:w="90" w:type="dxa"/>
              <w:end w:w="100" w:type="dxa"/>
            </w:tcMar>
            <w:vAlign w:val="center"/>
            <w:shd w:fill="102436"/>
          </w:tcPr>
          <w:p>
            <w:pPr>
              <w:spacing w:after="0"/>
            </w:pPr>
            <w:r/>
            <w:r>
              <w:rPr>
                <w:rFonts w:ascii="Calibri" w:hAnsi="Calibri"/>
                <w:b/>
                <w:color w:val="FFFFFF"/>
                <w:sz w:val="18"/>
              </w:rPr>
              <w:t>DATE</w:t>
            </w:r>
          </w:p>
        </w:tc>
        <w:tc>
          <w:tcPr>
            <w:tcW w:type="dxa" w:w="4939"/>
            <w:tcMar>
              <w:top w:w="90" w:type="dxa"/>
              <w:start w:w="100" w:type="dxa"/>
              <w:bottom w:w="90" w:type="dxa"/>
              <w:end w:w="100" w:type="dxa"/>
            </w:tcMar>
            <w:vAlign w:val="center"/>
            <w:shd w:fill="102436"/>
          </w:tcPr>
          <w:p>
            <w:pPr>
              <w:spacing w:after="0"/>
            </w:pPr>
            <w:r/>
            <w:r>
              <w:rPr>
                <w:rFonts w:ascii="Calibri" w:hAnsi="Calibri"/>
                <w:b/>
                <w:color w:val="FFFFFF"/>
                <w:sz w:val="18"/>
              </w:rPr>
              <w:t>DEVELOPMENT</w:t>
            </w:r>
          </w:p>
        </w:tc>
      </w:tr>
      <w:tr>
        <w:trPr>
          <w:cantSplit/>
        </w:trPr>
        <w:tc>
          <w:tcPr>
            <w:tcW w:type="dxa" w:w="1613"/>
            <w:tcMar>
              <w:top w:w="90" w:type="dxa"/>
              <w:start w:w="100" w:type="dxa"/>
              <w:bottom w:w="90" w:type="dxa"/>
              <w:end w:w="100" w:type="dxa"/>
            </w:tcMar>
            <w:vAlign w:val="center"/>
            <w:shd w:fill="F2F5F7"/>
          </w:tcPr>
          <w:p>
            <w:pPr>
              <w:spacing w:after="0"/>
            </w:pPr>
            <w:r/>
            <w:r>
              <w:rPr>
                <w:rFonts w:ascii="Calibri" w:hAnsi="Calibri"/>
                <w:b/>
                <w:color w:val="102436"/>
                <w:sz w:val="18"/>
              </w:rPr>
              <w:t>20 May</w:t>
            </w:r>
          </w:p>
        </w:tc>
        <w:tc>
          <w:tcPr>
            <w:tcW w:type="dxa" w:w="7992"/>
            <w:tcMar>
              <w:top w:w="90" w:type="dxa"/>
              <w:start w:w="100" w:type="dxa"/>
              <w:bottom w:w="90" w:type="dxa"/>
              <w:end w:w="100" w:type="dxa"/>
            </w:tcMar>
            <w:vAlign w:val="center"/>
            <w:shd w:fill="F2F5F7"/>
          </w:tcPr>
          <w:p>
            <w:pPr>
              <w:spacing w:after="0"/>
            </w:pPr>
            <w:r/>
            <w:r>
              <w:rPr>
                <w:rFonts w:ascii="Calibri" w:hAnsi="Calibri"/>
                <w:b w:val="0"/>
                <w:color w:val="172027"/>
                <w:sz w:val="18"/>
              </w:rPr>
              <w:t>First OT home assessment. Sheila’s bedroom, standard bed, access, circulation space and home environment were inspected and recorded.</w:t>
            </w:r>
          </w:p>
        </w:tc>
      </w:tr>
      <w:tr>
        <w:trPr>
          <w:cantSplit/>
        </w:trPr>
        <w:tc>
          <w:tcPr>
            <w:tcW w:type="dxa" w:w="1613"/>
            <w:tcMar>
              <w:top w:w="90" w:type="dxa"/>
              <w:start w:w="100" w:type="dxa"/>
              <w:bottom w:w="90" w:type="dxa"/>
              <w:end w:w="100" w:type="dxa"/>
            </w:tcMar>
            <w:vAlign w:val="center"/>
          </w:tcPr>
          <w:p>
            <w:pPr>
              <w:spacing w:after="0"/>
            </w:pPr>
            <w:r/>
            <w:r>
              <w:rPr>
                <w:rFonts w:ascii="Calibri" w:hAnsi="Calibri"/>
                <w:b/>
                <w:color w:val="102436"/>
                <w:sz w:val="18"/>
              </w:rPr>
              <w:t>19 June</w:t>
            </w:r>
          </w:p>
        </w:tc>
        <w:tc>
          <w:tcPr>
            <w:tcW w:type="dxa" w:w="7992"/>
            <w:tcMar>
              <w:top w:w="90" w:type="dxa"/>
              <w:start w:w="100" w:type="dxa"/>
              <w:bottom w:w="90" w:type="dxa"/>
              <w:end w:w="100" w:type="dxa"/>
            </w:tcMar>
            <w:vAlign w:val="center"/>
          </w:tcPr>
          <w:p>
            <w:pPr>
              <w:spacing w:after="0"/>
            </w:pPr>
            <w:r/>
            <w:r>
              <w:rPr>
                <w:rFonts w:ascii="Calibri" w:hAnsi="Calibri"/>
                <w:b w:val="0"/>
                <w:color w:val="172027"/>
                <w:sz w:val="18"/>
              </w:rPr>
              <w:t>Advice received that the OT had been asked to arrange a further meeting.</w:t>
            </w:r>
          </w:p>
        </w:tc>
      </w:tr>
      <w:tr>
        <w:trPr>
          <w:cantSplit/>
        </w:trPr>
        <w:tc>
          <w:tcPr>
            <w:tcW w:type="dxa" w:w="1613"/>
            <w:tcMar>
              <w:top w:w="90" w:type="dxa"/>
              <w:start w:w="100" w:type="dxa"/>
              <w:bottom w:w="90" w:type="dxa"/>
              <w:end w:w="100" w:type="dxa"/>
            </w:tcMar>
            <w:vAlign w:val="center"/>
            <w:shd w:fill="F2F5F7"/>
          </w:tcPr>
          <w:p>
            <w:pPr>
              <w:spacing w:after="0"/>
            </w:pPr>
            <w:r/>
            <w:r>
              <w:rPr>
                <w:rFonts w:ascii="Calibri" w:hAnsi="Calibri"/>
                <w:b/>
                <w:color w:val="102436"/>
                <w:sz w:val="18"/>
              </w:rPr>
              <w:t>21 July</w:t>
            </w:r>
          </w:p>
        </w:tc>
        <w:tc>
          <w:tcPr>
            <w:tcW w:type="dxa" w:w="7992"/>
            <w:tcMar>
              <w:top w:w="90" w:type="dxa"/>
              <w:start w:w="100" w:type="dxa"/>
              <w:bottom w:w="90" w:type="dxa"/>
              <w:end w:w="100" w:type="dxa"/>
            </w:tcMar>
            <w:vAlign w:val="center"/>
            <w:shd w:fill="F2F5F7"/>
          </w:tcPr>
          <w:p>
            <w:pPr>
              <w:spacing w:after="0"/>
            </w:pPr>
            <w:r/>
            <w:r>
              <w:rPr>
                <w:rFonts w:ascii="Calibri" w:hAnsi="Calibri"/>
                <w:b w:val="0"/>
                <w:color w:val="172027"/>
                <w:sz w:val="18"/>
              </w:rPr>
              <w:t>Second OT assessment at Sheila’s home. A mattress trial was recommended because of chronic back pain, arthritis and polymyalgia.</w:t>
            </w:r>
          </w:p>
        </w:tc>
      </w:tr>
      <w:tr>
        <w:trPr>
          <w:cantSplit/>
        </w:trPr>
        <w:tc>
          <w:tcPr>
            <w:tcW w:type="dxa" w:w="1613"/>
            <w:tcMar>
              <w:top w:w="90" w:type="dxa"/>
              <w:start w:w="100" w:type="dxa"/>
              <w:bottom w:w="90" w:type="dxa"/>
              <w:end w:w="100" w:type="dxa"/>
            </w:tcMar>
            <w:vAlign w:val="center"/>
          </w:tcPr>
          <w:p>
            <w:pPr>
              <w:spacing w:after="0"/>
            </w:pPr>
            <w:r/>
            <w:r>
              <w:rPr>
                <w:rFonts w:ascii="Calibri" w:hAnsi="Calibri"/>
                <w:b/>
                <w:color w:val="102436"/>
                <w:sz w:val="18"/>
              </w:rPr>
              <w:t>29 July</w:t>
            </w:r>
          </w:p>
        </w:tc>
        <w:tc>
          <w:tcPr>
            <w:tcW w:type="dxa" w:w="7992"/>
            <w:tcMar>
              <w:top w:w="90" w:type="dxa"/>
              <w:start w:w="100" w:type="dxa"/>
              <w:bottom w:w="90" w:type="dxa"/>
              <w:end w:w="100" w:type="dxa"/>
            </w:tcMar>
            <w:vAlign w:val="center"/>
          </w:tcPr>
          <w:p>
            <w:pPr>
              <w:spacing w:after="0"/>
            </w:pPr>
            <w:r/>
            <w:r>
              <w:rPr>
                <w:rFonts w:ascii="Calibri" w:hAnsi="Calibri"/>
                <w:b w:val="0"/>
                <w:color w:val="172027"/>
                <w:sz w:val="18"/>
              </w:rPr>
              <w:t>The care provider received the report and advised that another OT appointment would be arranged.</w:t>
            </w:r>
          </w:p>
        </w:tc>
      </w:tr>
      <w:tr>
        <w:trPr>
          <w:cantSplit/>
        </w:trPr>
        <w:tc>
          <w:tcPr>
            <w:tcW w:type="dxa" w:w="1613"/>
            <w:tcMar>
              <w:top w:w="90" w:type="dxa"/>
              <w:start w:w="100" w:type="dxa"/>
              <w:bottom w:w="90" w:type="dxa"/>
              <w:end w:w="100" w:type="dxa"/>
            </w:tcMar>
            <w:vAlign w:val="center"/>
            <w:shd w:fill="F2F5F7"/>
          </w:tcPr>
          <w:p>
            <w:pPr>
              <w:spacing w:after="0"/>
            </w:pPr>
            <w:r/>
            <w:r>
              <w:rPr>
                <w:rFonts w:ascii="Calibri" w:hAnsi="Calibri"/>
                <w:b/>
                <w:color w:val="102436"/>
                <w:sz w:val="18"/>
              </w:rPr>
              <w:t>13 August</w:t>
            </w:r>
          </w:p>
        </w:tc>
        <w:tc>
          <w:tcPr>
            <w:tcW w:type="dxa" w:w="7992"/>
            <w:tcMar>
              <w:top w:w="90" w:type="dxa"/>
              <w:start w:w="100" w:type="dxa"/>
              <w:bottom w:w="90" w:type="dxa"/>
              <w:end w:w="100" w:type="dxa"/>
            </w:tcMar>
            <w:vAlign w:val="center"/>
            <w:shd w:fill="F2F5F7"/>
          </w:tcPr>
          <w:p>
            <w:pPr>
              <w:spacing w:after="0"/>
            </w:pPr>
            <w:r/>
            <w:r>
              <w:rPr>
                <w:rFonts w:ascii="Calibri" w:hAnsi="Calibri"/>
                <w:b w:val="0"/>
                <w:color w:val="172027"/>
                <w:sz w:val="18"/>
              </w:rPr>
              <w:t>Sheila attended Back to Sleep with OT Jason Szeto and trialled three mattresses. The medium Activ+ Comfort Classic was selected.</w:t>
            </w:r>
          </w:p>
        </w:tc>
      </w:tr>
      <w:tr>
        <w:trPr>
          <w:cantSplit/>
        </w:trPr>
        <w:tc>
          <w:tcPr>
            <w:tcW w:type="dxa" w:w="1613"/>
            <w:tcMar>
              <w:top w:w="90" w:type="dxa"/>
              <w:start w:w="100" w:type="dxa"/>
              <w:bottom w:w="90" w:type="dxa"/>
              <w:end w:w="100" w:type="dxa"/>
            </w:tcMar>
            <w:vAlign w:val="center"/>
          </w:tcPr>
          <w:p>
            <w:pPr>
              <w:spacing w:after="0"/>
            </w:pPr>
            <w:r/>
            <w:r>
              <w:rPr>
                <w:rFonts w:ascii="Calibri" w:hAnsi="Calibri"/>
                <w:b/>
                <w:color w:val="102436"/>
                <w:sz w:val="18"/>
              </w:rPr>
              <w:t>13 August</w:t>
            </w:r>
          </w:p>
        </w:tc>
        <w:tc>
          <w:tcPr>
            <w:tcW w:type="dxa" w:w="7992"/>
            <w:tcMar>
              <w:top w:w="90" w:type="dxa"/>
              <w:start w:w="100" w:type="dxa"/>
              <w:bottom w:w="90" w:type="dxa"/>
              <w:end w:w="100" w:type="dxa"/>
            </w:tcMar>
            <w:vAlign w:val="center"/>
          </w:tcPr>
          <w:p>
            <w:pPr>
              <w:spacing w:after="0"/>
            </w:pPr>
            <w:r/>
            <w:r>
              <w:rPr>
                <w:rFonts w:ascii="Calibri" w:hAnsi="Calibri"/>
                <w:b w:val="0"/>
                <w:color w:val="172027"/>
                <w:sz w:val="18"/>
              </w:rPr>
              <w:t>Back to Sleep issued quote 26-00013132 for the clinically unsuitable firm version.</w:t>
            </w:r>
          </w:p>
        </w:tc>
      </w:tr>
      <w:tr>
        <w:trPr>
          <w:cantSplit/>
        </w:trPr>
        <w:tc>
          <w:tcPr>
            <w:tcW w:type="dxa" w:w="1613"/>
            <w:tcMar>
              <w:top w:w="90" w:type="dxa"/>
              <w:start w:w="100" w:type="dxa"/>
              <w:bottom w:w="90" w:type="dxa"/>
              <w:end w:w="100" w:type="dxa"/>
            </w:tcMar>
            <w:vAlign w:val="center"/>
            <w:shd w:fill="F2F5F7"/>
          </w:tcPr>
          <w:p>
            <w:pPr>
              <w:spacing w:after="0"/>
            </w:pPr>
            <w:r/>
            <w:r>
              <w:rPr>
                <w:rFonts w:ascii="Calibri" w:hAnsi="Calibri"/>
                <w:b/>
                <w:color w:val="102436"/>
                <w:sz w:val="18"/>
              </w:rPr>
              <w:t>25 August</w:t>
            </w:r>
          </w:p>
        </w:tc>
        <w:tc>
          <w:tcPr>
            <w:tcW w:type="dxa" w:w="7992"/>
            <w:tcMar>
              <w:top w:w="90" w:type="dxa"/>
              <w:start w:w="100" w:type="dxa"/>
              <w:bottom w:w="90" w:type="dxa"/>
              <w:end w:w="100" w:type="dxa"/>
            </w:tcMar>
            <w:vAlign w:val="center"/>
            <w:shd w:fill="F2F5F7"/>
          </w:tcPr>
          <w:p>
            <w:pPr>
              <w:spacing w:after="0"/>
            </w:pPr>
            <w:r/>
            <w:r>
              <w:rPr>
                <w:rFonts w:ascii="Calibri" w:hAnsi="Calibri"/>
                <w:b w:val="0"/>
                <w:color w:val="172027"/>
                <w:sz w:val="18"/>
              </w:rPr>
              <w:t>The August trial report was supplied as supporting evidence.</w:t>
            </w:r>
          </w:p>
        </w:tc>
      </w:tr>
      <w:tr>
        <w:trPr>
          <w:cantSplit/>
        </w:trPr>
        <w:tc>
          <w:tcPr>
            <w:tcW w:type="dxa" w:w="1613"/>
            <w:tcMar>
              <w:top w:w="90" w:type="dxa"/>
              <w:start w:w="100" w:type="dxa"/>
              <w:bottom w:w="90" w:type="dxa"/>
              <w:end w:w="100" w:type="dxa"/>
            </w:tcMar>
            <w:vAlign w:val="center"/>
          </w:tcPr>
          <w:p>
            <w:pPr>
              <w:spacing w:after="0"/>
            </w:pPr>
            <w:r/>
            <w:r>
              <w:rPr>
                <w:rFonts w:ascii="Calibri" w:hAnsi="Calibri"/>
                <w:b/>
                <w:color w:val="102436"/>
                <w:sz w:val="18"/>
              </w:rPr>
              <w:t>3 September</w:t>
            </w:r>
          </w:p>
        </w:tc>
        <w:tc>
          <w:tcPr>
            <w:tcW w:type="dxa" w:w="7992"/>
            <w:tcMar>
              <w:top w:w="90" w:type="dxa"/>
              <w:start w:w="100" w:type="dxa"/>
              <w:bottom w:w="90" w:type="dxa"/>
              <w:end w:w="100" w:type="dxa"/>
            </w:tcMar>
            <w:vAlign w:val="center"/>
          </w:tcPr>
          <w:p>
            <w:pPr>
              <w:spacing w:after="0"/>
            </w:pPr>
            <w:r/>
            <w:r>
              <w:rPr>
                <w:rFonts w:ascii="Calibri" w:hAnsi="Calibri"/>
                <w:b w:val="0"/>
                <w:color w:val="172027"/>
                <w:sz w:val="18"/>
              </w:rPr>
              <w:t>Three weeks after the trial, the quote and supplier delivery form were forwarded to Sheila.</w:t>
            </w:r>
          </w:p>
        </w:tc>
      </w:tr>
      <w:tr>
        <w:trPr>
          <w:cantSplit/>
        </w:trPr>
        <w:tc>
          <w:tcPr>
            <w:tcW w:type="dxa" w:w="1613"/>
            <w:tcMar>
              <w:top w:w="90" w:type="dxa"/>
              <w:start w:w="100" w:type="dxa"/>
              <w:bottom w:w="90" w:type="dxa"/>
              <w:end w:w="100" w:type="dxa"/>
            </w:tcMar>
            <w:vAlign w:val="center"/>
            <w:shd w:fill="F2F5F7"/>
          </w:tcPr>
          <w:p>
            <w:pPr>
              <w:spacing w:after="0"/>
            </w:pPr>
            <w:r/>
            <w:r>
              <w:rPr>
                <w:rFonts w:ascii="Calibri" w:hAnsi="Calibri"/>
                <w:b/>
                <w:color w:val="102436"/>
                <w:sz w:val="18"/>
              </w:rPr>
              <w:t>4 September</w:t>
            </w:r>
          </w:p>
        </w:tc>
        <w:tc>
          <w:tcPr>
            <w:tcW w:type="dxa" w:w="7992"/>
            <w:tcMar>
              <w:top w:w="90" w:type="dxa"/>
              <w:start w:w="100" w:type="dxa"/>
              <w:bottom w:w="90" w:type="dxa"/>
              <w:end w:w="100" w:type="dxa"/>
            </w:tcMar>
            <w:vAlign w:val="center"/>
            <w:shd w:fill="F2F5F7"/>
          </w:tcPr>
          <w:p>
            <w:pPr>
              <w:spacing w:after="0"/>
            </w:pPr>
            <w:r/>
            <w:r>
              <w:rPr>
                <w:rFonts w:ascii="Calibri" w:hAnsi="Calibri"/>
                <w:b w:val="0"/>
                <w:color w:val="172027"/>
                <w:sz w:val="18"/>
              </w:rPr>
              <w:t>The order was described as expected to be confirmed, but the lead time could not yet be explained because the supplier’s response was still awaited.</w:t>
            </w:r>
          </w:p>
        </w:tc>
      </w:tr>
    </w:tbl>
    <w:p>
      <w:pPr>
        <w:spacing w:before="200"/>
      </w:pPr>
      <w:r>
        <w:rPr>
          <w:b/>
          <w:color w:val="C9362B"/>
          <w:sz w:val="26"/>
        </w:rPr>
        <w:t>Elapsed time: approximately 107 days</w:t>
      </w:r>
      <w:r>
        <w:t xml:space="preserve"> from the first home assessment to 4 September. A further four-to-six-week wait would extend the total to approximately 135–149 days.</w:t>
      </w:r>
    </w:p>
    <w:p>
      <w:pPr>
        <w:pStyle w:val="Heading2"/>
      </w:pPr>
      <w:r>
        <w:t>The critical procurement error</w:t>
      </w:r>
    </w:p>
    <w:tbl>
      <w:tblPr>
        <w:tblW w:type="auto" w:w="0"/>
        <w:jc w:val="center"/>
        <w:tblLayout w:type="fixed"/>
        <w:tblLook w:firstColumn="1" w:firstRow="1" w:lastColumn="0" w:lastRow="0" w:noHBand="0" w:noVBand="1" w:val="04A0"/>
      </w:tblPr>
      <w:tblGrid>
        <w:gridCol w:w="4781"/>
        <w:gridCol w:w="4781"/>
      </w:tblGrid>
      <w:tr>
        <w:trPr>
          <w:cantSplit/>
        </w:trPr>
        <w:tc>
          <w:tcPr>
            <w:tcW w:type="dxa" w:w="4939"/>
            <w:tcMar>
              <w:top w:w="90" w:type="dxa"/>
              <w:start w:w="100" w:type="dxa"/>
              <w:bottom w:w="90" w:type="dxa"/>
              <w:end w:w="100" w:type="dxa"/>
            </w:tcMar>
            <w:vAlign w:val="center"/>
            <w:shd w:fill="1672A6"/>
          </w:tcPr>
          <w:p>
            <w:pPr>
              <w:spacing w:after="0"/>
            </w:pPr>
            <w:r/>
            <w:r>
              <w:rPr>
                <w:rFonts w:ascii="Calibri" w:hAnsi="Calibri"/>
                <w:b/>
                <w:color w:val="FFFFFF"/>
                <w:sz w:val="18"/>
              </w:rPr>
              <w:t>OT RECOMMENDATION</w:t>
            </w:r>
          </w:p>
        </w:tc>
        <w:tc>
          <w:tcPr>
            <w:tcW w:type="dxa" w:w="4939"/>
            <w:tcMar>
              <w:top w:w="90" w:type="dxa"/>
              <w:start w:w="100" w:type="dxa"/>
              <w:bottom w:w="90" w:type="dxa"/>
              <w:end w:w="100" w:type="dxa"/>
            </w:tcMar>
            <w:vAlign w:val="center"/>
            <w:shd w:fill="C9362B"/>
          </w:tcPr>
          <w:p>
            <w:pPr>
              <w:spacing w:after="0"/>
            </w:pPr>
            <w:r/>
            <w:r>
              <w:rPr>
                <w:rFonts w:ascii="Calibri" w:hAnsi="Calibri"/>
                <w:b/>
                <w:color w:val="FFFFFF"/>
                <w:sz w:val="18"/>
              </w:rPr>
              <w:t>SUPPLIER QUOTE</w:t>
            </w:r>
          </w:p>
        </w:tc>
      </w:tr>
      <w:tr>
        <w:trPr>
          <w:cantSplit/>
        </w:trPr>
        <w:tc>
          <w:tcPr>
            <w:tcW w:type="dxa" w:w="4939"/>
            <w:tcMar>
              <w:top w:w="90" w:type="dxa"/>
              <w:start w:w="100" w:type="dxa"/>
              <w:bottom w:w="90" w:type="dxa"/>
              <w:end w:w="100" w:type="dxa"/>
            </w:tcMar>
            <w:vAlign w:val="center"/>
            <w:shd w:fill="EAF5FA"/>
          </w:tcPr>
          <w:p>
            <w:pPr>
              <w:spacing w:after="0"/>
            </w:pPr>
            <w:r/>
            <w:r>
              <w:rPr>
                <w:rFonts w:ascii="Calibri" w:hAnsi="Calibri"/>
                <w:b/>
                <w:color w:val="102436"/>
                <w:sz w:val="20"/>
              </w:rPr>
              <w:t>Activ+ Comfort Classic — MEDIUM</w:t>
              <w:br/>
              <w:t>Selected after supervised trial</w:t>
            </w:r>
          </w:p>
        </w:tc>
        <w:tc>
          <w:tcPr>
            <w:tcW w:type="dxa" w:w="4939"/>
            <w:tcMar>
              <w:top w:w="90" w:type="dxa"/>
              <w:start w:w="100" w:type="dxa"/>
              <w:bottom w:w="90" w:type="dxa"/>
              <w:end w:w="100" w:type="dxa"/>
            </w:tcMar>
            <w:vAlign w:val="center"/>
            <w:shd w:fill="FCEBE8"/>
          </w:tcPr>
          <w:p>
            <w:pPr>
              <w:spacing w:after="0"/>
            </w:pPr>
            <w:r/>
            <w:r>
              <w:rPr>
                <w:rFonts w:ascii="Calibri" w:hAnsi="Calibri"/>
                <w:b/>
                <w:color w:val="C9362B"/>
                <w:sz w:val="20"/>
              </w:rPr>
              <w:t>Activ+ Comfort Classic — FIRM</w:t>
              <w:br/>
              <w:t>Quote 26-00013132; total $1,893</w:t>
            </w:r>
          </w:p>
        </w:tc>
      </w:tr>
    </w:tbl>
    <w:p>
      <w:pPr>
        <w:spacing w:before="160"/>
      </w:pPr>
      <w:r>
        <w:rPr>
          <w:b/>
        </w:rPr>
        <w:t xml:space="preserve">Required safeguard: </w:t>
      </w:r>
      <w:r>
        <w:t>the firm-mattress quote should not be confirmed or paid. A corrected quote for the medium mattress is required, together with confirmation of stock and the earliest delivery date.</w:t>
      </w:r>
    </w:p>
    <w:p>
      <w:r>
        <w:br w:type="page"/>
      </w:r>
    </w:p>
    <w:p>
      <w:pPr>
        <w:pStyle w:val="Heading1"/>
      </w:pPr>
      <w:r>
        <w:t>When delivery administration overwhelms care</w:t>
      </w:r>
    </w:p>
    <w:p>
      <w:pPr>
        <w:spacing w:before="20" w:after="160"/>
        <w:pBdr>
          <w:bottom w:val="single" w:sz="18" w:space="1" w:color="F3C623"/>
        </w:pBdr>
      </w:pPr>
    </w:p>
    <w:p>
      <w:r>
        <w:rPr>
          <w:b/>
        </w:rPr>
        <w:t xml:space="preserve">The supplier form requested: </w:t>
      </w:r>
      <w:r>
        <w:t>photographs or video of the route from the street to the bedroom; measurements or a floor plan; doorway, hallway and corner dimensions; truck access; lift, stair and ceiling details; photographs of furniture requiring removal; and acceptance of additional charges and failed-delivery risks.</w:t>
      </w:r>
    </w:p>
    <w:p>
      <w:r>
        <w:rPr>
          <w:b/>
        </w:rPr>
        <w:t xml:space="preserve">Some access questions are reasonable. </w:t>
      </w:r>
      <w:r>
        <w:t>A supplier must deliver equipment safely. The concern is proportionality and timing. The form appears designed for large powered beds and complex equipment, while this purchase is a queen mattress. It was also requested only after two home inspections had already documented the property and bedroom.</w:t>
      </w:r>
    </w:p>
    <w:p>
      <w:pPr>
        <w:pStyle w:val="Heading2"/>
      </w:pPr>
      <w:r>
        <w:t>Information already documented</w:t>
      </w:r>
    </w:p>
    <w:tbl>
      <w:tblPr>
        <w:tblW w:type="auto" w:w="0"/>
        <w:jc w:val="center"/>
        <w:tblLayout w:type="fixed"/>
        <w:tblLook w:firstColumn="1" w:firstRow="1" w:lastColumn="0" w:lastRow="0" w:noHBand="0" w:noVBand="1" w:val="04A0"/>
      </w:tblPr>
      <w:tblGrid>
        <w:gridCol w:w="2232"/>
        <w:gridCol w:w="7344"/>
      </w:tblGrid>
      <w:tr>
        <w:trPr>
          <w:cantSplit/>
        </w:trPr>
        <w:tc>
          <w:tcPr>
            <w:tcW w:type="dxa" w:w="2232"/>
            <w:tcMar>
              <w:top w:w="90" w:type="dxa"/>
              <w:start w:w="100" w:type="dxa"/>
              <w:bottom w:w="90" w:type="dxa"/>
              <w:end w:w="100" w:type="dxa"/>
            </w:tcMar>
            <w:vAlign w:val="center"/>
            <w:shd w:fill="F2F5F7"/>
          </w:tcPr>
          <w:p>
            <w:pPr>
              <w:spacing w:after="0"/>
            </w:pPr>
            <w:r/>
            <w:r>
              <w:rPr>
                <w:rFonts w:ascii="Calibri" w:hAnsi="Calibri"/>
                <w:b/>
                <w:color w:val="102436"/>
                <w:sz w:val="18"/>
              </w:rPr>
              <w:t>Two home visits</w:t>
            </w:r>
          </w:p>
        </w:tc>
        <w:tc>
          <w:tcPr>
            <w:tcW w:type="dxa" w:w="7344"/>
            <w:tcMar>
              <w:top w:w="90" w:type="dxa"/>
              <w:start w:w="100" w:type="dxa"/>
              <w:bottom w:w="90" w:type="dxa"/>
              <w:end w:w="100" w:type="dxa"/>
            </w:tcMar>
            <w:vAlign w:val="center"/>
            <w:shd w:fill="F2F5F7"/>
          </w:tcPr>
          <w:p>
            <w:pPr>
              <w:spacing w:after="0"/>
            </w:pPr>
            <w:r/>
            <w:r>
              <w:rPr>
                <w:rFonts w:ascii="Calibri" w:hAnsi="Calibri"/>
                <w:b w:val="0"/>
                <w:color w:val="172027"/>
                <w:sz w:val="18"/>
              </w:rPr>
              <w:t>Occupational therapists attended on 20 May and 21 July.</w:t>
            </w:r>
          </w:p>
        </w:tc>
      </w:tr>
      <w:tr>
        <w:trPr>
          <w:cantSplit/>
        </w:trPr>
        <w:tc>
          <w:tcPr>
            <w:tcW w:type="dxa" w:w="2232"/>
            <w:tcMar>
              <w:top w:w="90" w:type="dxa"/>
              <w:start w:w="100" w:type="dxa"/>
              <w:bottom w:w="90" w:type="dxa"/>
              <w:end w:w="100" w:type="dxa"/>
            </w:tcMar>
            <w:vAlign w:val="center"/>
          </w:tcPr>
          <w:p>
            <w:pPr>
              <w:spacing w:after="0"/>
            </w:pPr>
            <w:r/>
            <w:r>
              <w:rPr>
                <w:rFonts w:ascii="Calibri" w:hAnsi="Calibri"/>
                <w:b/>
                <w:color w:val="102436"/>
                <w:sz w:val="18"/>
              </w:rPr>
              <w:t>Property access</w:t>
            </w:r>
          </w:p>
        </w:tc>
        <w:tc>
          <w:tcPr>
            <w:tcW w:type="dxa" w:w="7344"/>
            <w:tcMar>
              <w:top w:w="90" w:type="dxa"/>
              <w:start w:w="100" w:type="dxa"/>
              <w:bottom w:w="90" w:type="dxa"/>
              <w:end w:w="100" w:type="dxa"/>
            </w:tcMar>
            <w:vAlign w:val="center"/>
          </w:tcPr>
          <w:p>
            <w:pPr>
              <w:spacing w:after="0"/>
            </w:pPr>
            <w:r/>
            <w:r>
              <w:rPr>
                <w:rFonts w:ascii="Calibri" w:hAnsi="Calibri"/>
                <w:b w:val="0"/>
                <w:color w:val="172027"/>
                <w:sz w:val="18"/>
              </w:rPr>
              <w:t>The May report recorded a single-storey home, level access and clear thoroughfares.</w:t>
            </w:r>
          </w:p>
        </w:tc>
      </w:tr>
      <w:tr>
        <w:trPr>
          <w:cantSplit/>
        </w:trPr>
        <w:tc>
          <w:tcPr>
            <w:tcW w:type="dxa" w:w="2232"/>
            <w:tcMar>
              <w:top w:w="90" w:type="dxa"/>
              <w:start w:w="100" w:type="dxa"/>
              <w:bottom w:w="90" w:type="dxa"/>
              <w:end w:w="100" w:type="dxa"/>
            </w:tcMar>
            <w:vAlign w:val="center"/>
            <w:shd w:fill="F2F5F7"/>
          </w:tcPr>
          <w:p>
            <w:pPr>
              <w:spacing w:after="0"/>
            </w:pPr>
            <w:r/>
            <w:r>
              <w:rPr>
                <w:rFonts w:ascii="Calibri" w:hAnsi="Calibri"/>
                <w:b/>
                <w:color w:val="102436"/>
                <w:sz w:val="18"/>
              </w:rPr>
              <w:t>Bedroom</w:t>
            </w:r>
          </w:p>
        </w:tc>
        <w:tc>
          <w:tcPr>
            <w:tcW w:type="dxa" w:w="7344"/>
            <w:tcMar>
              <w:top w:w="90" w:type="dxa"/>
              <w:start w:w="100" w:type="dxa"/>
              <w:bottom w:w="90" w:type="dxa"/>
              <w:end w:w="100" w:type="dxa"/>
            </w:tcMar>
            <w:vAlign w:val="center"/>
            <w:shd w:fill="F2F5F7"/>
          </w:tcPr>
          <w:p>
            <w:pPr>
              <w:spacing w:after="0"/>
            </w:pPr>
            <w:r/>
            <w:r>
              <w:rPr>
                <w:rFonts w:ascii="Calibri" w:hAnsi="Calibri"/>
                <w:b w:val="0"/>
                <w:color w:val="172027"/>
                <w:sz w:val="18"/>
              </w:rPr>
              <w:t>Adequate circulation space and a standard bed were recorded.</w:t>
            </w:r>
          </w:p>
        </w:tc>
      </w:tr>
      <w:tr>
        <w:trPr>
          <w:cantSplit/>
        </w:trPr>
        <w:tc>
          <w:tcPr>
            <w:tcW w:type="dxa" w:w="2232"/>
            <w:tcMar>
              <w:top w:w="90" w:type="dxa"/>
              <w:start w:w="100" w:type="dxa"/>
              <w:bottom w:w="90" w:type="dxa"/>
              <w:end w:w="100" w:type="dxa"/>
            </w:tcMar>
            <w:vAlign w:val="center"/>
          </w:tcPr>
          <w:p>
            <w:pPr>
              <w:spacing w:after="0"/>
            </w:pPr>
            <w:r/>
            <w:r>
              <w:rPr>
                <w:rFonts w:ascii="Calibri" w:hAnsi="Calibri"/>
                <w:b/>
                <w:color w:val="102436"/>
                <w:sz w:val="18"/>
              </w:rPr>
              <w:t>Bed size</w:t>
            </w:r>
          </w:p>
        </w:tc>
        <w:tc>
          <w:tcPr>
            <w:tcW w:type="dxa" w:w="7344"/>
            <w:tcMar>
              <w:top w:w="90" w:type="dxa"/>
              <w:start w:w="100" w:type="dxa"/>
              <w:bottom w:w="90" w:type="dxa"/>
              <w:end w:w="100" w:type="dxa"/>
            </w:tcMar>
            <w:vAlign w:val="center"/>
          </w:tcPr>
          <w:p>
            <w:pPr>
              <w:spacing w:after="0"/>
            </w:pPr>
            <w:r/>
            <w:r>
              <w:rPr>
                <w:rFonts w:ascii="Calibri" w:hAnsi="Calibri"/>
                <w:b w:val="0"/>
                <w:color w:val="172027"/>
                <w:sz w:val="18"/>
              </w:rPr>
              <w:t>The August report recorded an existing queen-sized bed and bedding.</w:t>
            </w:r>
          </w:p>
        </w:tc>
      </w:tr>
      <w:tr>
        <w:trPr>
          <w:cantSplit/>
        </w:trPr>
        <w:tc>
          <w:tcPr>
            <w:tcW w:type="dxa" w:w="2232"/>
            <w:tcMar>
              <w:top w:w="90" w:type="dxa"/>
              <w:start w:w="100" w:type="dxa"/>
              <w:bottom w:w="90" w:type="dxa"/>
              <w:end w:w="100" w:type="dxa"/>
            </w:tcMar>
            <w:vAlign w:val="center"/>
            <w:shd w:fill="F2F5F7"/>
          </w:tcPr>
          <w:p>
            <w:pPr>
              <w:spacing w:after="0"/>
            </w:pPr>
            <w:r/>
            <w:r>
              <w:rPr>
                <w:rFonts w:ascii="Calibri" w:hAnsi="Calibri"/>
                <w:b/>
                <w:color w:val="102436"/>
                <w:sz w:val="18"/>
              </w:rPr>
              <w:t>Form timing</w:t>
            </w:r>
          </w:p>
        </w:tc>
        <w:tc>
          <w:tcPr>
            <w:tcW w:type="dxa" w:w="7344"/>
            <w:tcMar>
              <w:top w:w="90" w:type="dxa"/>
              <w:start w:w="100" w:type="dxa"/>
              <w:bottom w:w="90" w:type="dxa"/>
              <w:end w:w="100" w:type="dxa"/>
            </w:tcMar>
            <w:vAlign w:val="center"/>
            <w:shd w:fill="F2F5F7"/>
          </w:tcPr>
          <w:p>
            <w:pPr>
              <w:spacing w:after="0"/>
            </w:pPr>
            <w:r/>
            <w:r>
              <w:rPr>
                <w:rFonts w:ascii="Calibri" w:hAnsi="Calibri"/>
                <w:b w:val="0"/>
                <w:color w:val="172027"/>
                <w:sz w:val="18"/>
              </w:rPr>
              <w:t>The form was version-dated 15 June; the 13 August quote said it had been sent to the OT and care manager, but Sheila received it on 3 September.</w:t>
            </w:r>
          </w:p>
        </w:tc>
      </w:tr>
    </w:tbl>
    <w:p>
      <w:pPr>
        <w:pStyle w:val="Heading2"/>
      </w:pPr>
      <w:r>
        <w:t>Who should carry the coordination burden?</w:t>
      </w:r>
    </w:p>
    <w:p>
      <w:r>
        <w:rPr>
          <w:b/>
        </w:rPr>
        <w:t xml:space="preserve">The Support at Home Program Manual describes care management as including the identification of funding, confirmation of needs and goals, referrals, communication with professionals, and coordination of suppliers, quotes and delivery. </w:t>
      </w:r>
      <w:r>
        <w:t>On that basis, the provider should coordinate the process and reuse information already gathered—not drip-feed new administrative tasks to the older person.</w:t>
      </w:r>
    </w:p>
    <w:tbl>
      <w:tblPr>
        <w:tblW w:type="auto" w:w="0"/>
        <w:jc w:val="center"/>
        <w:tblLayout w:type="fixed"/>
        <w:tblLook w:firstColumn="1" w:firstRow="1" w:lastColumn="0" w:lastRow="0" w:noHBand="0" w:noVBand="1" w:val="04A0"/>
      </w:tblPr>
      <w:tblGrid>
        <w:gridCol w:w="173"/>
        <w:gridCol w:w="9432"/>
      </w:tblGrid>
      <w:tr>
        <w:trPr>
          <w:cantSplit/>
        </w:trPr>
        <w:tc>
          <w:tcPr>
            <w:tcW w:type="dxa" w:w="4939"/>
            <w:shd w:fill="1672A6"/>
            <w:tcMar>
              <w:top w:w="0" w:type="dxa"/>
              <w:start w:w="0" w:type="dxa"/>
              <w:bottom w:w="0" w:type="dxa"/>
              <w:end w:w="0" w:type="dxa"/>
            </w:tcMar>
          </w:tcPr>
          <w:p/>
        </w:tc>
        <w:tc>
          <w:tcPr>
            <w:tcW w:type="dxa" w:w="4939"/>
            <w:shd w:fill="EAF5FA"/>
            <w:tcMar>
              <w:top w:w="130" w:type="dxa"/>
              <w:start w:w="150" w:type="dxa"/>
              <w:bottom w:w="130" w:type="dxa"/>
              <w:end w:w="150" w:type="dxa"/>
            </w:tcMar>
          </w:tcPr>
          <w:p>
            <w:pPr>
              <w:spacing w:after="60"/>
            </w:pPr>
            <w:r/>
            <w:r>
              <w:rPr>
                <w:b/>
                <w:color w:val="1672A6"/>
                <w:sz w:val="24"/>
              </w:rPr>
              <w:t>The practical test</w:t>
            </w:r>
          </w:p>
          <w:p>
            <w:pPr>
              <w:spacing w:after="0" w:line="252" w:lineRule="auto"/>
            </w:pPr>
            <w:r>
              <w:t>Ask only for information that is genuinely necessary, obtain it at the earliest appropriate stage, reuse information already held, and assign one person responsibility for getting the correct item to the client’s home.</w:t>
            </w:r>
          </w:p>
        </w:tc>
      </w:tr>
    </w:tbl>
    <w:p>
      <w:pPr>
        <w:spacing w:after="0"/>
      </w:pPr>
    </w:p>
    <w:p>
      <w:r>
        <w:br w:type="page"/>
      </w:r>
    </w:p>
    <w:p>
      <w:pPr>
        <w:pStyle w:val="Heading1"/>
      </w:pPr>
      <w:r>
        <w:t>Immediate action required</w:t>
      </w:r>
    </w:p>
    <w:p>
      <w:pPr>
        <w:spacing w:before="20" w:after="160"/>
        <w:pBdr>
          <w:bottom w:val="single" w:sz="18" w:space="1" w:color="F3C623"/>
        </w:pBdr>
      </w:pPr>
    </w:p>
    <w:p>
      <w:r>
        <w:rPr>
          <w:b/>
        </w:rPr>
        <w:t>The care provider should now be required to complete the following actions without further avoidable delay:</w:t>
      </w:r>
    </w:p>
    <w:tbl>
      <w:tblPr>
        <w:tblW w:type="auto" w:w="0"/>
        <w:jc w:val="center"/>
        <w:tblLayout w:type="fixed"/>
        <w:tblLook w:firstColumn="1" w:firstRow="1" w:lastColumn="0" w:lastRow="0" w:noHBand="0" w:noVBand="1" w:val="04A0"/>
      </w:tblPr>
      <w:tblGrid>
        <w:gridCol w:w="605"/>
        <w:gridCol w:w="9000"/>
      </w:tblGrid>
      <w:tr>
        <w:trPr>
          <w:cantSplit/>
        </w:trPr>
        <w:tc>
          <w:tcPr>
            <w:tcW w:type="dxa" w:w="4939"/>
            <w:shd w:fill="102436"/>
            <w:tcMar>
              <w:top w:w="90" w:type="dxa"/>
              <w:start w:w="100" w:type="dxa"/>
              <w:bottom w:w="90" w:type="dxa"/>
              <w:end w:w="100" w:type="dxa"/>
            </w:tcMar>
            <w:vAlign w:val="center"/>
          </w:tcPr>
          <w:p>
            <w:pPr>
              <w:spacing w:after="0"/>
            </w:pPr>
            <w:r/>
            <w:r>
              <w:rPr>
                <w:rFonts w:ascii="Calibri" w:hAnsi="Calibri"/>
                <w:b/>
                <w:color w:val="FFFFFF"/>
                <w:sz w:val="20"/>
              </w:rPr>
              <w:t>1</w:t>
            </w:r>
          </w:p>
        </w:tc>
        <w:tc>
          <w:tcPr>
            <w:tcW w:type="dxa" w:w="4939"/>
            <w:tcMar>
              <w:top w:w="90" w:type="dxa"/>
              <w:start w:w="100" w:type="dxa"/>
              <w:bottom w:w="90" w:type="dxa"/>
              <w:end w:w="100" w:type="dxa"/>
            </w:tcMar>
            <w:vAlign w:val="center"/>
            <w:shd w:fill="F2F5F7"/>
          </w:tcPr>
          <w:p>
            <w:pPr>
              <w:spacing w:after="0"/>
            </w:pPr>
            <w:r/>
            <w:r>
              <w:rPr>
                <w:rFonts w:ascii="Calibri" w:hAnsi="Calibri"/>
                <w:b w:val="0"/>
                <w:color w:val="172027"/>
                <w:sz w:val="19"/>
              </w:rPr>
              <w:t>Halt any order based on the incorrect firm-mattress quote.</w:t>
            </w:r>
          </w:p>
        </w:tc>
      </w:tr>
    </w:tbl>
    <w:tbl>
      <w:tblPr>
        <w:tblW w:type="auto" w:w="0"/>
        <w:jc w:val="center"/>
        <w:tblLayout w:type="fixed"/>
        <w:tblLook w:firstColumn="1" w:firstRow="1" w:lastColumn="0" w:lastRow="0" w:noHBand="0" w:noVBand="1" w:val="04A0"/>
      </w:tblPr>
      <w:tblGrid>
        <w:gridCol w:w="605"/>
        <w:gridCol w:w="9000"/>
      </w:tblGrid>
      <w:tr>
        <w:trPr>
          <w:cantSplit/>
        </w:trPr>
        <w:tc>
          <w:tcPr>
            <w:tcW w:type="dxa" w:w="4939"/>
            <w:shd w:fill="102436"/>
            <w:tcMar>
              <w:top w:w="90" w:type="dxa"/>
              <w:start w:w="100" w:type="dxa"/>
              <w:bottom w:w="90" w:type="dxa"/>
              <w:end w:w="100" w:type="dxa"/>
            </w:tcMar>
            <w:vAlign w:val="center"/>
          </w:tcPr>
          <w:p>
            <w:pPr>
              <w:spacing w:after="0"/>
            </w:pPr>
            <w:r/>
            <w:r>
              <w:rPr>
                <w:rFonts w:ascii="Calibri" w:hAnsi="Calibri"/>
                <w:b/>
                <w:color w:val="FFFFFF"/>
                <w:sz w:val="20"/>
              </w:rPr>
              <w:t>2</w:t>
            </w:r>
          </w:p>
        </w:tc>
        <w:tc>
          <w:tcPr>
            <w:tcW w:type="dxa" w:w="4939"/>
            <w:tcMar>
              <w:top w:w="90" w:type="dxa"/>
              <w:start w:w="100" w:type="dxa"/>
              <w:bottom w:w="90" w:type="dxa"/>
              <w:end w:w="100" w:type="dxa"/>
            </w:tcMar>
            <w:vAlign w:val="center"/>
          </w:tcPr>
          <w:p>
            <w:pPr>
              <w:spacing w:after="0"/>
            </w:pPr>
            <w:r/>
            <w:r>
              <w:rPr>
                <w:rFonts w:ascii="Calibri" w:hAnsi="Calibri"/>
                <w:b w:val="0"/>
                <w:color w:val="172027"/>
                <w:sz w:val="19"/>
              </w:rPr>
              <w:t>Obtain a corrected written quote for the medium Activ+ Comfort Classic mattress.</w:t>
            </w:r>
          </w:p>
        </w:tc>
      </w:tr>
    </w:tbl>
    <w:tbl>
      <w:tblPr>
        <w:tblW w:type="auto" w:w="0"/>
        <w:jc w:val="center"/>
        <w:tblLayout w:type="fixed"/>
        <w:tblLook w:firstColumn="1" w:firstRow="1" w:lastColumn="0" w:lastRow="0" w:noHBand="0" w:noVBand="1" w:val="04A0"/>
      </w:tblPr>
      <w:tblGrid>
        <w:gridCol w:w="605"/>
        <w:gridCol w:w="9000"/>
      </w:tblGrid>
      <w:tr>
        <w:trPr>
          <w:cantSplit/>
        </w:trPr>
        <w:tc>
          <w:tcPr>
            <w:tcW w:type="dxa" w:w="4939"/>
            <w:shd w:fill="102436"/>
            <w:tcMar>
              <w:top w:w="90" w:type="dxa"/>
              <w:start w:w="100" w:type="dxa"/>
              <w:bottom w:w="90" w:type="dxa"/>
              <w:end w:w="100" w:type="dxa"/>
            </w:tcMar>
            <w:vAlign w:val="center"/>
          </w:tcPr>
          <w:p>
            <w:pPr>
              <w:spacing w:after="0"/>
            </w:pPr>
            <w:r/>
            <w:r>
              <w:rPr>
                <w:rFonts w:ascii="Calibri" w:hAnsi="Calibri"/>
                <w:b/>
                <w:color w:val="FFFFFF"/>
                <w:sz w:val="20"/>
              </w:rPr>
              <w:t>3</w:t>
            </w:r>
          </w:p>
        </w:tc>
        <w:tc>
          <w:tcPr>
            <w:tcW w:type="dxa" w:w="4939"/>
            <w:tcMar>
              <w:top w:w="90" w:type="dxa"/>
              <w:start w:w="100" w:type="dxa"/>
              <w:bottom w:w="90" w:type="dxa"/>
              <w:end w:w="100" w:type="dxa"/>
            </w:tcMar>
            <w:vAlign w:val="center"/>
            <w:shd w:fill="F2F5F7"/>
          </w:tcPr>
          <w:p>
            <w:pPr>
              <w:spacing w:after="0"/>
            </w:pPr>
            <w:r/>
            <w:r>
              <w:rPr>
                <w:rFonts w:ascii="Calibri" w:hAnsi="Calibri"/>
                <w:b w:val="0"/>
                <w:color w:val="172027"/>
                <w:sz w:val="19"/>
              </w:rPr>
              <w:t>Explain how the firm specification was selected despite the OT’s contrary finding.</w:t>
            </w:r>
          </w:p>
        </w:tc>
      </w:tr>
    </w:tbl>
    <w:tbl>
      <w:tblPr>
        <w:tblW w:type="auto" w:w="0"/>
        <w:jc w:val="center"/>
        <w:tblLayout w:type="fixed"/>
        <w:tblLook w:firstColumn="1" w:firstRow="1" w:lastColumn="0" w:lastRow="0" w:noHBand="0" w:noVBand="1" w:val="04A0"/>
      </w:tblPr>
      <w:tblGrid>
        <w:gridCol w:w="605"/>
        <w:gridCol w:w="9000"/>
      </w:tblGrid>
      <w:tr>
        <w:trPr>
          <w:cantSplit/>
        </w:trPr>
        <w:tc>
          <w:tcPr>
            <w:tcW w:type="dxa" w:w="4939"/>
            <w:shd w:fill="102436"/>
            <w:tcMar>
              <w:top w:w="90" w:type="dxa"/>
              <w:start w:w="100" w:type="dxa"/>
              <w:bottom w:w="90" w:type="dxa"/>
              <w:end w:w="100" w:type="dxa"/>
            </w:tcMar>
            <w:vAlign w:val="center"/>
          </w:tcPr>
          <w:p>
            <w:pPr>
              <w:spacing w:after="0"/>
            </w:pPr>
            <w:r/>
            <w:r>
              <w:rPr>
                <w:rFonts w:ascii="Calibri" w:hAnsi="Calibri"/>
                <w:b/>
                <w:color w:val="FFFFFF"/>
                <w:sz w:val="20"/>
              </w:rPr>
              <w:t>4</w:t>
            </w:r>
          </w:p>
        </w:tc>
        <w:tc>
          <w:tcPr>
            <w:tcW w:type="dxa" w:w="4939"/>
            <w:tcMar>
              <w:top w:w="90" w:type="dxa"/>
              <w:start w:w="100" w:type="dxa"/>
              <w:bottom w:w="90" w:type="dxa"/>
              <w:end w:w="100" w:type="dxa"/>
            </w:tcMar>
            <w:vAlign w:val="center"/>
          </w:tcPr>
          <w:p>
            <w:pPr>
              <w:spacing w:after="0"/>
            </w:pPr>
            <w:r/>
            <w:r>
              <w:rPr>
                <w:rFonts w:ascii="Calibri" w:hAnsi="Calibri"/>
                <w:b w:val="0"/>
                <w:color w:val="172027"/>
                <w:sz w:val="19"/>
              </w:rPr>
              <w:t>Confirm whether the medium queen mattress is in stock and provide the earliest firm delivery date.</w:t>
            </w:r>
          </w:p>
        </w:tc>
      </w:tr>
    </w:tbl>
    <w:tbl>
      <w:tblPr>
        <w:tblW w:type="auto" w:w="0"/>
        <w:jc w:val="center"/>
        <w:tblLayout w:type="fixed"/>
        <w:tblLook w:firstColumn="1" w:firstRow="1" w:lastColumn="0" w:lastRow="0" w:noHBand="0" w:noVBand="1" w:val="04A0"/>
      </w:tblPr>
      <w:tblGrid>
        <w:gridCol w:w="605"/>
        <w:gridCol w:w="9000"/>
      </w:tblGrid>
      <w:tr>
        <w:trPr>
          <w:cantSplit/>
        </w:trPr>
        <w:tc>
          <w:tcPr>
            <w:tcW w:type="dxa" w:w="4939"/>
            <w:shd w:fill="102436"/>
            <w:tcMar>
              <w:top w:w="90" w:type="dxa"/>
              <w:start w:w="100" w:type="dxa"/>
              <w:bottom w:w="90" w:type="dxa"/>
              <w:end w:w="100" w:type="dxa"/>
            </w:tcMar>
            <w:vAlign w:val="center"/>
          </w:tcPr>
          <w:p>
            <w:pPr>
              <w:spacing w:after="0"/>
            </w:pPr>
            <w:r/>
            <w:r>
              <w:rPr>
                <w:rFonts w:ascii="Calibri" w:hAnsi="Calibri"/>
                <w:b/>
                <w:color w:val="FFFFFF"/>
                <w:sz w:val="20"/>
              </w:rPr>
              <w:t>5</w:t>
            </w:r>
          </w:p>
        </w:tc>
        <w:tc>
          <w:tcPr>
            <w:tcW w:type="dxa" w:w="4939"/>
            <w:tcMar>
              <w:top w:w="90" w:type="dxa"/>
              <w:start w:w="100" w:type="dxa"/>
              <w:bottom w:w="90" w:type="dxa"/>
              <w:end w:w="100" w:type="dxa"/>
            </w:tcMar>
            <w:vAlign w:val="center"/>
            <w:shd w:fill="F2F5F7"/>
          </w:tcPr>
          <w:p>
            <w:pPr>
              <w:spacing w:after="0"/>
            </w:pPr>
            <w:r/>
            <w:r>
              <w:rPr>
                <w:rFonts w:ascii="Calibri" w:hAnsi="Calibri"/>
                <w:b w:val="0"/>
                <w:color w:val="172027"/>
                <w:sz w:val="19"/>
              </w:rPr>
              <w:t>Extract all available access information from the existing OT reports.</w:t>
            </w:r>
          </w:p>
        </w:tc>
      </w:tr>
    </w:tbl>
    <w:tbl>
      <w:tblPr>
        <w:tblW w:type="auto" w:w="0"/>
        <w:jc w:val="center"/>
        <w:tblLayout w:type="fixed"/>
        <w:tblLook w:firstColumn="1" w:firstRow="1" w:lastColumn="0" w:lastRow="0" w:noHBand="0" w:noVBand="1" w:val="04A0"/>
      </w:tblPr>
      <w:tblGrid>
        <w:gridCol w:w="605"/>
        <w:gridCol w:w="9000"/>
      </w:tblGrid>
      <w:tr>
        <w:trPr>
          <w:cantSplit/>
        </w:trPr>
        <w:tc>
          <w:tcPr>
            <w:tcW w:type="dxa" w:w="4939"/>
            <w:shd w:fill="102436"/>
            <w:tcMar>
              <w:top w:w="90" w:type="dxa"/>
              <w:start w:w="100" w:type="dxa"/>
              <w:bottom w:w="90" w:type="dxa"/>
              <w:end w:w="100" w:type="dxa"/>
            </w:tcMar>
            <w:vAlign w:val="center"/>
          </w:tcPr>
          <w:p>
            <w:pPr>
              <w:spacing w:after="0"/>
            </w:pPr>
            <w:r/>
            <w:r>
              <w:rPr>
                <w:rFonts w:ascii="Calibri" w:hAnsi="Calibri"/>
                <w:b/>
                <w:color w:val="FFFFFF"/>
                <w:sz w:val="20"/>
              </w:rPr>
              <w:t>6</w:t>
            </w:r>
          </w:p>
        </w:tc>
        <w:tc>
          <w:tcPr>
            <w:tcW w:type="dxa" w:w="4939"/>
            <w:tcMar>
              <w:top w:w="90" w:type="dxa"/>
              <w:start w:w="100" w:type="dxa"/>
              <w:bottom w:w="90" w:type="dxa"/>
              <w:end w:w="100" w:type="dxa"/>
            </w:tcMar>
            <w:vAlign w:val="center"/>
          </w:tcPr>
          <w:p>
            <w:pPr>
              <w:spacing w:after="0"/>
            </w:pPr>
            <w:r/>
            <w:r>
              <w:rPr>
                <w:rFonts w:ascii="Calibri" w:hAnsi="Calibri"/>
                <w:b w:val="0"/>
                <w:color w:val="172027"/>
                <w:sz w:val="19"/>
              </w:rPr>
              <w:t>Arrange for the provider or OT—not Sheila—to obtain any genuinely missing measurements or photographs.</w:t>
            </w:r>
          </w:p>
        </w:tc>
      </w:tr>
    </w:tbl>
    <w:tbl>
      <w:tblPr>
        <w:tblW w:type="auto" w:w="0"/>
        <w:jc w:val="center"/>
        <w:tblLayout w:type="fixed"/>
        <w:tblLook w:firstColumn="1" w:firstRow="1" w:lastColumn="0" w:lastRow="0" w:noHBand="0" w:noVBand="1" w:val="04A0"/>
      </w:tblPr>
      <w:tblGrid>
        <w:gridCol w:w="605"/>
        <w:gridCol w:w="9000"/>
      </w:tblGrid>
      <w:tr>
        <w:trPr>
          <w:cantSplit/>
        </w:trPr>
        <w:tc>
          <w:tcPr>
            <w:tcW w:type="dxa" w:w="4939"/>
            <w:shd w:fill="102436"/>
            <w:tcMar>
              <w:top w:w="90" w:type="dxa"/>
              <w:start w:w="100" w:type="dxa"/>
              <w:bottom w:w="90" w:type="dxa"/>
              <w:end w:w="100" w:type="dxa"/>
            </w:tcMar>
            <w:vAlign w:val="center"/>
          </w:tcPr>
          <w:p>
            <w:pPr>
              <w:spacing w:after="0"/>
            </w:pPr>
            <w:r/>
            <w:r>
              <w:rPr>
                <w:rFonts w:ascii="Calibri" w:hAnsi="Calibri"/>
                <w:b/>
                <w:color w:val="FFFFFF"/>
                <w:sz w:val="20"/>
              </w:rPr>
              <w:t>7</w:t>
            </w:r>
          </w:p>
        </w:tc>
        <w:tc>
          <w:tcPr>
            <w:tcW w:type="dxa" w:w="4939"/>
            <w:tcMar>
              <w:top w:w="90" w:type="dxa"/>
              <w:start w:w="100" w:type="dxa"/>
              <w:bottom w:w="90" w:type="dxa"/>
              <w:end w:w="100" w:type="dxa"/>
            </w:tcMar>
            <w:vAlign w:val="center"/>
            <w:shd w:fill="F2F5F7"/>
          </w:tcPr>
          <w:p>
            <w:pPr>
              <w:spacing w:after="0"/>
            </w:pPr>
            <w:r/>
            <w:r>
              <w:rPr>
                <w:rFonts w:ascii="Calibri" w:hAnsi="Calibri"/>
                <w:b w:val="0"/>
                <w:color w:val="172027"/>
                <w:sz w:val="19"/>
              </w:rPr>
              <w:t>Ask the supplier to remove or waive form requirements that are irrelevant to a mattress-only delivery.</w:t>
            </w:r>
          </w:p>
        </w:tc>
      </w:tr>
    </w:tbl>
    <w:tbl>
      <w:tblPr>
        <w:tblW w:type="auto" w:w="0"/>
        <w:jc w:val="center"/>
        <w:tblLayout w:type="fixed"/>
        <w:tblLook w:firstColumn="1" w:firstRow="1" w:lastColumn="0" w:lastRow="0" w:noHBand="0" w:noVBand="1" w:val="04A0"/>
      </w:tblPr>
      <w:tblGrid>
        <w:gridCol w:w="605"/>
        <w:gridCol w:w="9000"/>
      </w:tblGrid>
      <w:tr>
        <w:trPr>
          <w:cantSplit/>
        </w:trPr>
        <w:tc>
          <w:tcPr>
            <w:tcW w:type="dxa" w:w="4939"/>
            <w:shd w:fill="102436"/>
            <w:tcMar>
              <w:top w:w="90" w:type="dxa"/>
              <w:start w:w="100" w:type="dxa"/>
              <w:bottom w:w="90" w:type="dxa"/>
              <w:end w:w="100" w:type="dxa"/>
            </w:tcMar>
            <w:vAlign w:val="center"/>
          </w:tcPr>
          <w:p>
            <w:pPr>
              <w:spacing w:after="0"/>
            </w:pPr>
            <w:r/>
            <w:r>
              <w:rPr>
                <w:rFonts w:ascii="Calibri" w:hAnsi="Calibri"/>
                <w:b/>
                <w:color w:val="FFFFFF"/>
                <w:sz w:val="20"/>
              </w:rPr>
              <w:t>8</w:t>
            </w:r>
          </w:p>
        </w:tc>
        <w:tc>
          <w:tcPr>
            <w:tcW w:type="dxa" w:w="4939"/>
            <w:tcMar>
              <w:top w:w="90" w:type="dxa"/>
              <w:start w:w="100" w:type="dxa"/>
              <w:bottom w:w="90" w:type="dxa"/>
              <w:end w:w="100" w:type="dxa"/>
            </w:tcMar>
            <w:vAlign w:val="center"/>
          </w:tcPr>
          <w:p>
            <w:pPr>
              <w:spacing w:after="0"/>
            </w:pPr>
            <w:r/>
            <w:r>
              <w:rPr>
                <w:rFonts w:ascii="Calibri" w:hAnsi="Calibri"/>
                <w:b w:val="0"/>
                <w:color w:val="172027"/>
                <w:sz w:val="19"/>
              </w:rPr>
              <w:t>Seek expedited delivery in recognition of the time already elapsed.</w:t>
            </w:r>
          </w:p>
        </w:tc>
      </w:tr>
    </w:tbl>
    <w:tbl>
      <w:tblPr>
        <w:tblW w:type="auto" w:w="0"/>
        <w:jc w:val="center"/>
        <w:tblLayout w:type="fixed"/>
        <w:tblLook w:firstColumn="1" w:firstRow="1" w:lastColumn="0" w:lastRow="0" w:noHBand="0" w:noVBand="1" w:val="04A0"/>
      </w:tblPr>
      <w:tblGrid>
        <w:gridCol w:w="605"/>
        <w:gridCol w:w="9000"/>
      </w:tblGrid>
      <w:tr>
        <w:trPr>
          <w:cantSplit/>
        </w:trPr>
        <w:tc>
          <w:tcPr>
            <w:tcW w:type="dxa" w:w="4939"/>
            <w:shd w:fill="C9362B"/>
            <w:tcMar>
              <w:top w:w="90" w:type="dxa"/>
              <w:start w:w="100" w:type="dxa"/>
              <w:bottom w:w="90" w:type="dxa"/>
              <w:end w:w="100" w:type="dxa"/>
            </w:tcMar>
            <w:vAlign w:val="center"/>
          </w:tcPr>
          <w:p>
            <w:pPr>
              <w:spacing w:after="0"/>
            </w:pPr>
            <w:r/>
            <w:r>
              <w:rPr>
                <w:rFonts w:ascii="Calibri" w:hAnsi="Calibri"/>
                <w:b/>
                <w:color w:val="FFFFFF"/>
                <w:sz w:val="20"/>
              </w:rPr>
              <w:t>9</w:t>
            </w:r>
          </w:p>
        </w:tc>
        <w:tc>
          <w:tcPr>
            <w:tcW w:type="dxa" w:w="4939"/>
            <w:tcMar>
              <w:top w:w="90" w:type="dxa"/>
              <w:start w:w="100" w:type="dxa"/>
              <w:bottom w:w="90" w:type="dxa"/>
              <w:end w:w="100" w:type="dxa"/>
            </w:tcMar>
            <w:vAlign w:val="center"/>
            <w:shd w:fill="F2F5F7"/>
          </w:tcPr>
          <w:p>
            <w:pPr>
              <w:spacing w:after="0"/>
            </w:pPr>
            <w:r/>
            <w:r>
              <w:rPr>
                <w:rFonts w:ascii="Calibri" w:hAnsi="Calibri"/>
                <w:b w:val="0"/>
                <w:color w:val="172027"/>
                <w:sz w:val="19"/>
              </w:rPr>
              <w:t>Provide a written chronology identifying responsibility for each delay and period of inactivity.</w:t>
            </w:r>
          </w:p>
        </w:tc>
      </w:tr>
    </w:tbl>
    <w:p>
      <w:pPr>
        <w:pStyle w:val="Heading2"/>
      </w:pPr>
      <w:r>
        <w:t>The broader lesson</w:t>
      </w:r>
    </w:p>
    <w:p>
      <w:r>
        <w:rPr>
          <w:b/>
        </w:rPr>
        <w:t xml:space="preserve">This case is about more than one mattress. </w:t>
      </w:r>
      <w:r>
        <w:t>It demonstrates how fragmentation turns care into process: one organisation assesses, another trials, another quotes, another approves, and the older person is left to connect the pieces.</w:t>
      </w:r>
    </w:p>
    <w:p>
      <w:pPr>
        <w:pStyle w:val="CampaignQuote"/>
        <w:jc w:val="center"/>
      </w:pPr>
      <w:r>
        <w:t>Approval should mean care—not another queue.</w:t>
      </w:r>
    </w:p>
    <w:p>
      <w:pPr>
        <w:spacing w:before="160"/>
        <w:jc w:val="center"/>
      </w:pPr>
      <w:r>
        <w:rPr>
          <w:b/>
          <w:color w:val="C9362B"/>
          <w:sz w:val="24"/>
        </w:rPr>
        <w:t>FOLLOW THE MONEY.  MEASURE THE OUTCOMES.  PUT PEOPLE FIRST.</w:t>
      </w:r>
    </w:p>
    <w:p>
      <w:pPr>
        <w:pStyle w:val="Heading2"/>
      </w:pPr>
      <w:r>
        <w:t>Evidence note</w:t>
      </w:r>
    </w:p>
    <w:p>
      <w:pPr>
        <w:spacing w:after="60"/>
      </w:pPr>
      <w:r>
        <w:rPr>
          <w:color w:val="5B6870"/>
          <w:sz w:val="17"/>
        </w:rPr>
        <w:t>This brief is based on the supplied OT home-assessment and equipment-trial material, Back to Sleep quote 26-00013132, the supplier delivery form, and correspondence through 4 September 2026. References to provider responsibilities reflect the Support at Home Program Manual and strengthened Aged Care Quality Standards identified in the source material. Dates, quotations and clinical findings should be checked against the original records before external publication or formal complaint.</w:t>
      </w:r>
    </w:p>
    <w:sectPr w:rsidR="00FC693F" w:rsidRPr="0006063C" w:rsidSect="00034616">
      <w:headerReference w:type="default" r:id="rId9"/>
      <w:footerReference w:type="default" r:id="rId10"/>
      <w:pgSz w:w="12240" w:h="15840"/>
      <w:pgMar w:top="1224" w:right="1181" w:bottom="936" w:left="1181" w:header="403"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color w:val="102436"/>
        <w:sz w:val="16"/>
      </w:rPr>
      <w:t xml:space="preserve">MURPHYCAMPAIGN.AU   •   PEOPLE BEFORE PROCESSES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102436"/>
        <w:sz w:val="16"/>
      </w:rPr>
      <w:t>MURPHY CAMPAIGN  •  A FAIR GO FOR OLDER AUSTRALIANS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Calibri" w:hAnsi="Calibri"/>
      <w:color w:val="1720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b/>
      <w:bCs/>
      <w:color w:val="102436"/>
      <w:sz w:val="36"/>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Calibri" w:hAnsi="Calibri"/>
      <w:b/>
      <w:bCs/>
      <w:color w:val="1672A6"/>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Calibri" w:hAnsi="Calibri"/>
      <w:b/>
      <w:bCs/>
      <w:color w:val="C9362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102436"/>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mpaignQuote">
    <w:name w:val="Campaign Quote"/>
    <w:pPr>
      <w:spacing w:before="200" w:after="200"/>
      <w:ind w:left="360" w:right="360"/>
    </w:pPr>
    <w:rPr>
      <w:rFonts w:ascii="Calibri" w:hAnsi="Calibri"/>
      <w:b/>
      <w:color w:val="102436"/>
      <w:sz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Mattress Madness: When Essential Care Becomes an Obstacle Course</dc:title>
  <dc:subject>Murphy Campaign case study on aged-care equipment delays</dc:subject>
  <dc:creator>Murphy Campaign</dc:creator>
  <cp:keywords>aged care, Support at Home, occupational therapy, mattress, care delay, Murphy Campaign</cp:keywords>
  <dc:description>generated by python-docx</dc:description>
  <cp:lastModifiedBy/>
  <cp:revision>1</cp:revision>
  <dcterms:created xsi:type="dcterms:W3CDTF">2013-12-23T23:15:00Z</dcterms:created>
  <dcterms:modified xsi:type="dcterms:W3CDTF">2013-12-23T23:15:00Z</dcterms:modified>
  <cp:category/>
</cp:coreProperties>
</file>